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E9C" w:rsidRPr="00E00E9C" w:rsidRDefault="00E00E9C" w:rsidP="00E00E9C">
      <w:pPr>
        <w:shd w:val="clear" w:color="auto" w:fill="CDCDCD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  <w:r w:rsidRPr="00E00E9C">
        <w:rPr>
          <w:rFonts w:ascii="Segoe UI" w:eastAsia="Times New Roman" w:hAnsi="Segoe UI" w:cs="Segoe UI"/>
          <w:b/>
          <w:bCs/>
          <w:color w:val="FF0000"/>
          <w:sz w:val="23"/>
          <w:szCs w:val="23"/>
          <w:lang w:eastAsia="pt-BR"/>
        </w:rPr>
        <w:t>LEI MUNICIPAL Nº 2.113, DE 12/02/2021</w:t>
      </w:r>
      <w:r w:rsidRPr="00E00E9C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 w:type="textWrapping" w:clear="all"/>
      </w:r>
      <w:r w:rsidRPr="00E00E9C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ALTERA DISPOSITIVOS DA LEI MUNICIPAL Nº 1.598/2013 E DÁ OUTRAS PROVIDÊNCIAS.</w:t>
      </w:r>
    </w:p>
    <w:p w:rsidR="00E00E9C" w:rsidRPr="00E00E9C" w:rsidRDefault="00E00E9C" w:rsidP="00E00E9C">
      <w:pPr>
        <w:shd w:val="clear" w:color="auto" w:fill="EEEEEE"/>
        <w:spacing w:after="0" w:line="240" w:lineRule="auto"/>
        <w:jc w:val="both"/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</w:pPr>
      <w:r w:rsidRPr="00E00E9C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t>Prefeito Municipal DE SÃO VALENTIM DO SUL, Estado do Rio Grande do Sul, no uso de suas atribuições legais,</w:t>
      </w:r>
      <w:r w:rsidRPr="00E00E9C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</w:r>
      <w:r w:rsidRPr="00E00E9C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  <w:t>FAZ SABER, que a Câmara Municipal de Vereadores aprovou e ele sanciona e promulga a seguinte Lei:</w:t>
      </w:r>
    </w:p>
    <w:p w:rsidR="00E00E9C" w:rsidRPr="00E00E9C" w:rsidRDefault="00E00E9C" w:rsidP="00E00E9C">
      <w:pPr>
        <w:shd w:val="clear" w:color="auto" w:fill="EEEEEE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  <w:r w:rsidRPr="00E00E9C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bookmarkStart w:id="0" w:name="a1"/>
      <w:bookmarkEnd w:id="0"/>
      <w:r w:rsidRPr="00E00E9C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Art. 1º</w:t>
      </w:r>
      <w:r w:rsidRPr="00E00E9C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A </w:t>
      </w:r>
      <w:hyperlink r:id="rId4" w:history="1">
        <w:r w:rsidRPr="00E00E9C">
          <w:rPr>
            <w:rFonts w:ascii="Segoe UI" w:eastAsia="Times New Roman" w:hAnsi="Segoe UI" w:cs="Segoe UI"/>
            <w:color w:val="007BFF"/>
            <w:sz w:val="23"/>
            <w:szCs w:val="23"/>
            <w:u w:val="single"/>
            <w:lang w:eastAsia="pt-BR"/>
          </w:rPr>
          <w:t>Lei Municipal nº 1.598/2013</w:t>
        </w:r>
      </w:hyperlink>
      <w:r w:rsidRPr="00E00E9C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passa a vigorar com as seguintes alterações:</w:t>
      </w:r>
    </w:p>
    <w:p w:rsidR="00E00E9C" w:rsidRPr="00E00E9C" w:rsidRDefault="00E00E9C" w:rsidP="00E00E9C">
      <w:pPr>
        <w:shd w:val="clear" w:color="auto" w:fill="EEEEEE"/>
        <w:spacing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</w:pPr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t>"</w:t>
      </w:r>
      <w:hyperlink r:id="rId5" w:anchor="a2" w:history="1">
        <w:r w:rsidRPr="00E00E9C">
          <w:rPr>
            <w:rFonts w:ascii="Segoe UI" w:eastAsia="Times New Roman" w:hAnsi="Segoe UI" w:cs="Segoe UI"/>
            <w:color w:val="007BFF"/>
            <w:sz w:val="18"/>
            <w:szCs w:val="18"/>
            <w:u w:val="single"/>
            <w:lang w:eastAsia="pt-BR"/>
          </w:rPr>
          <w:t>Art. 2º</w:t>
        </w:r>
      </w:hyperlink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t> [...]</w:t>
      </w:r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br/>
        <w:t>I - Bovinocultura de Lei/Corte e Produção de Grãos;</w:t>
      </w:r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br/>
        <w:t>[...]"</w:t>
      </w:r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br/>
      </w:r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br/>
        <w:t>TÍTULO II - [...]</w:t>
      </w:r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br/>
      </w:r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br/>
        <w:t>CAPÍTULO I - BOVINOCULTURA DE LEITE/CORTE E PRODUÇÃO DE GRÃOS</w:t>
      </w:r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br/>
      </w:r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br/>
        <w:t>"</w:t>
      </w:r>
      <w:hyperlink r:id="rId6" w:anchor="a4" w:history="1">
        <w:r w:rsidRPr="00E00E9C">
          <w:rPr>
            <w:rFonts w:ascii="Segoe UI" w:eastAsia="Times New Roman" w:hAnsi="Segoe UI" w:cs="Segoe UI"/>
            <w:color w:val="007BFF"/>
            <w:sz w:val="18"/>
            <w:szCs w:val="18"/>
            <w:u w:val="single"/>
            <w:lang w:eastAsia="pt-BR"/>
          </w:rPr>
          <w:t>Art. 4º</w:t>
        </w:r>
      </w:hyperlink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t> São os seguintes os incentivos ao Programa de Estímulo a Bovinocultura de Leite/Corte e Produção de Grãos:</w:t>
      </w:r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br/>
        <w:t>I - desconto de 50% (cinquenta por cento) do custo da hora-máquina para preparo de áreas para produção de alimentos (limpeza de novas áreas, retirada de tocos, pedras e assemelhados);</w:t>
      </w:r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br/>
        <w:t>[...]"</w:t>
      </w:r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br/>
      </w:r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br/>
        <w:t>"</w:t>
      </w:r>
      <w:hyperlink r:id="rId7" w:anchor="a9" w:history="1">
        <w:r w:rsidRPr="00E00E9C">
          <w:rPr>
            <w:rFonts w:ascii="Segoe UI" w:eastAsia="Times New Roman" w:hAnsi="Segoe UI" w:cs="Segoe UI"/>
            <w:color w:val="007BFF"/>
            <w:sz w:val="18"/>
            <w:szCs w:val="18"/>
            <w:u w:val="single"/>
            <w:lang w:eastAsia="pt-BR"/>
          </w:rPr>
          <w:t>Art. 9º</w:t>
        </w:r>
      </w:hyperlink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t> [...]</w:t>
      </w:r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br/>
        <w:t>I - subsídio de 60% (sessenta por cento) na hora-máquina para preparo de áreas destinadas a novos pomares e abertura de estradas para seu acesso, até o limite de R$ 2.000,00 (dois mil reais) por hectare de área implantada, atualizáveis anualmente pelo Valor de Referência Municipal - VRM;</w:t>
      </w:r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br/>
        <w:t>[...]</w:t>
      </w:r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br/>
        <w:t>III - desconto de 60% (sessenta por cento) nos serviços de máquina para manutenção e melhoria de pomares e plantações existentes e no fornecimento de brita e saibro para colocação nas estradas de acesso aos pomares e plantações;"</w:t>
      </w:r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br/>
        <w:t>[...]</w:t>
      </w:r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br/>
      </w:r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br/>
      </w:r>
      <w:hyperlink r:id="rId8" w:anchor="a10" w:history="1">
        <w:r w:rsidRPr="00E00E9C">
          <w:rPr>
            <w:rFonts w:ascii="Segoe UI" w:eastAsia="Times New Roman" w:hAnsi="Segoe UI" w:cs="Segoe UI"/>
            <w:color w:val="007BFF"/>
            <w:sz w:val="18"/>
            <w:szCs w:val="18"/>
            <w:u w:val="single"/>
            <w:lang w:eastAsia="pt-BR"/>
          </w:rPr>
          <w:t>Art. 10.</w:t>
        </w:r>
      </w:hyperlink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t> [...]</w:t>
      </w:r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br/>
        <w:t>I - subsídio de 100% (cem por cento) no valor da hora-máquina na terraplanagem das áreas para instalação de pocilga, esterqueira, cercado e vestiário, e fornecimento de brita para a construção, até o limite de R$ 15,00 (quinze reais) por metro quadrado de área construída;</w:t>
      </w:r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br/>
        <w:t>[...]</w:t>
      </w:r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br/>
      </w:r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br/>
      </w:r>
      <w:hyperlink r:id="rId9" w:anchor="a11" w:history="1">
        <w:r w:rsidRPr="00E00E9C">
          <w:rPr>
            <w:rFonts w:ascii="Segoe UI" w:eastAsia="Times New Roman" w:hAnsi="Segoe UI" w:cs="Segoe UI"/>
            <w:color w:val="007BFF"/>
            <w:sz w:val="18"/>
            <w:szCs w:val="18"/>
            <w:u w:val="single"/>
            <w:lang w:eastAsia="pt-BR"/>
          </w:rPr>
          <w:t>Art. 11.</w:t>
        </w:r>
      </w:hyperlink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t> [...]</w:t>
      </w:r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br/>
        <w:t>[...]</w:t>
      </w:r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br/>
        <w:t>II - desconto de 50% (cinquenta por cento) no valor da hora-máquina para abertura de estradas e colocação de saibro e brita;</w:t>
      </w:r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br/>
        <w:t>[...]"</w:t>
      </w:r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br/>
      </w:r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br/>
        <w:t>"</w:t>
      </w:r>
      <w:hyperlink r:id="rId10" w:anchor="a14" w:history="1">
        <w:r w:rsidRPr="00E00E9C">
          <w:rPr>
            <w:rFonts w:ascii="Segoe UI" w:eastAsia="Times New Roman" w:hAnsi="Segoe UI" w:cs="Segoe UI"/>
            <w:color w:val="007BFF"/>
            <w:sz w:val="18"/>
            <w:szCs w:val="18"/>
            <w:u w:val="single"/>
            <w:lang w:eastAsia="pt-BR"/>
          </w:rPr>
          <w:t>Art. 14.</w:t>
        </w:r>
      </w:hyperlink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t> [...]</w:t>
      </w:r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br/>
        <w:t>[...]</w:t>
      </w:r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br/>
        <w:t>V - desconto de 50% (cinquenta por cento) na execução de terraplanagem para construção de bens imóveis (depósitos, galpões, casas e outros) que tenham por objetivo melhorar a qualidade de vida do agricultor e sua estrutura familiar, além da finalidade de fixar sua residência permanente na área rural;</w:t>
      </w:r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br/>
        <w:t>[...]</w:t>
      </w:r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br/>
        <w:t>VII - desconto de 50% (cinquenta por cento) na execução de terraplenagem para construção de moradias voltadas à melhoria da qualidade de vida do agricultor e de sua família, com a finalidade de fixar residência permanente na área rural.</w:t>
      </w:r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br/>
      </w:r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lastRenderedPageBreak/>
        <w:br/>
      </w:r>
      <w:hyperlink r:id="rId11" w:anchor="a15" w:history="1">
        <w:r w:rsidRPr="00E00E9C">
          <w:rPr>
            <w:rFonts w:ascii="Segoe UI" w:eastAsia="Times New Roman" w:hAnsi="Segoe UI" w:cs="Segoe UI"/>
            <w:color w:val="007BFF"/>
            <w:sz w:val="18"/>
            <w:szCs w:val="18"/>
            <w:u w:val="single"/>
            <w:lang w:eastAsia="pt-BR"/>
          </w:rPr>
          <w:t>Art. 15.</w:t>
        </w:r>
      </w:hyperlink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t> [...]</w:t>
      </w:r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br/>
        <w:t>I - desconto de 60% (sessenta por cento) no valor da hora-máquina e fornecimento de brita para instalação de fossas e/ou esterqueiras;</w:t>
      </w:r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br/>
        <w:t>[...]"</w:t>
      </w:r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br/>
      </w:r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br/>
        <w:t>"</w:t>
      </w:r>
      <w:hyperlink r:id="rId12" w:anchor="a26" w:history="1">
        <w:r w:rsidRPr="00E00E9C">
          <w:rPr>
            <w:rFonts w:ascii="Segoe UI" w:eastAsia="Times New Roman" w:hAnsi="Segoe UI" w:cs="Segoe UI"/>
            <w:color w:val="007BFF"/>
            <w:sz w:val="18"/>
            <w:szCs w:val="18"/>
            <w:u w:val="single"/>
            <w:lang w:eastAsia="pt-BR"/>
          </w:rPr>
          <w:t>Art. 26.</w:t>
        </w:r>
      </w:hyperlink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t> [...]</w:t>
      </w:r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br/>
        <w:t>§ 1º Nos casos em que a municipalidade optar pela terceirização de serviços de maquinário e equipamentos, à exceção do contido nos artigos 5º e 10 desta Lei, o Município pagará o equivalente a 50% (cinquenta por cento) do seu custo e, o remanescente, será pago pelo produtor diretamente ao prestador dos serviços, sempre considerado o valor contratado com o terceirizado.</w:t>
      </w:r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br/>
        <w:t>§ 2º Quando o produtor utilizar o limite legal de horas máquina, atualmente de vinte horas, e houver necessidade de horas adicionais, pagará o equivalente a 70% (setenta por cento) do valor previsto no Decreto Municipal, observado que deverá ser considerado o núcleo familiar, independentemente da quantidade de talões de produtor."</w:t>
      </w:r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br/>
      </w:r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br/>
        <w:t>"</w:t>
      </w:r>
      <w:hyperlink r:id="rId13" w:anchor="a31" w:history="1">
        <w:r w:rsidRPr="00E00E9C">
          <w:rPr>
            <w:rFonts w:ascii="Segoe UI" w:eastAsia="Times New Roman" w:hAnsi="Segoe UI" w:cs="Segoe UI"/>
            <w:color w:val="007BFF"/>
            <w:sz w:val="18"/>
            <w:szCs w:val="18"/>
            <w:u w:val="single"/>
            <w:lang w:eastAsia="pt-BR"/>
          </w:rPr>
          <w:t>Art. 31.</w:t>
        </w:r>
      </w:hyperlink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t> [...]</w:t>
      </w:r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br/>
        <w:t>[...]</w:t>
      </w:r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br/>
        <w:t>IV - para a consecução dos programas previstos nesta Lei, o Município poderá se utilizar de maquinário próprio, cedido ou contratado junto ao setor privado.</w:t>
      </w:r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br/>
      </w:r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br/>
      </w:r>
      <w:hyperlink r:id="rId14" w:anchor="a32" w:history="1">
        <w:r w:rsidRPr="00E00E9C">
          <w:rPr>
            <w:rFonts w:ascii="Segoe UI" w:eastAsia="Times New Roman" w:hAnsi="Segoe UI" w:cs="Segoe UI"/>
            <w:color w:val="007BFF"/>
            <w:sz w:val="18"/>
            <w:szCs w:val="18"/>
            <w:u w:val="single"/>
            <w:lang w:eastAsia="pt-BR"/>
          </w:rPr>
          <w:t>Art. 32.</w:t>
        </w:r>
      </w:hyperlink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t> Os incentivos previstos nesta Lei serão condicionados à capacidade orçamentária-</w:t>
      </w:r>
      <w:proofErr w:type="spellStart"/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t>financiera</w:t>
      </w:r>
      <w:proofErr w:type="spellEnd"/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t xml:space="preserve"> do Município, e à disponibilidade de tempo e dos equipamentos, não se constituindo direito adquirido do produtor.</w:t>
      </w:r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br/>
        <w:t>Parágrafo único. Para usufruir dos benefícios previstos nesta Lei, o produtor não poderá possuir débito junto à Fazenda Municipal, e deverá manter a revisão anual do Talão de Produtor.</w:t>
      </w:r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br/>
      </w:r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br/>
      </w:r>
      <w:hyperlink r:id="rId15" w:anchor="a32A" w:history="1">
        <w:r w:rsidRPr="00E00E9C">
          <w:rPr>
            <w:rFonts w:ascii="Segoe UI" w:eastAsia="Times New Roman" w:hAnsi="Segoe UI" w:cs="Segoe UI"/>
            <w:color w:val="007BFF"/>
            <w:sz w:val="18"/>
            <w:szCs w:val="18"/>
            <w:u w:val="single"/>
            <w:lang w:eastAsia="pt-BR"/>
          </w:rPr>
          <w:t>Art. 32-A.</w:t>
        </w:r>
      </w:hyperlink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t xml:space="preserve">Trimestralmente, o Poder Executivo disponibilizará no Portal da Transparência a íntegra das planilhas de Horas Máquinas prestadas com base no Programa instituído por </w:t>
      </w:r>
      <w:proofErr w:type="spellStart"/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t>está</w:t>
      </w:r>
      <w:proofErr w:type="spellEnd"/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t xml:space="preserve"> lei, contendo ao menos o nome dos produtores beneficiados, o número de horas trabalhadas e os valores despendidos pelo Poder Público."</w:t>
      </w:r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br/>
      </w:r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br/>
        <w:t>"</w:t>
      </w:r>
      <w:hyperlink r:id="rId16" w:anchor="a35" w:history="1">
        <w:r w:rsidRPr="00E00E9C">
          <w:rPr>
            <w:rFonts w:ascii="Segoe UI" w:eastAsia="Times New Roman" w:hAnsi="Segoe UI" w:cs="Segoe UI"/>
            <w:color w:val="007BFF"/>
            <w:sz w:val="18"/>
            <w:szCs w:val="18"/>
            <w:u w:val="single"/>
            <w:lang w:eastAsia="pt-BR"/>
          </w:rPr>
          <w:t>Art. 35.</w:t>
        </w:r>
      </w:hyperlink>
      <w:r w:rsidRPr="00E00E9C">
        <w:rPr>
          <w:rFonts w:ascii="Segoe UI" w:eastAsia="Times New Roman" w:hAnsi="Segoe UI" w:cs="Segoe UI"/>
          <w:color w:val="000000"/>
          <w:sz w:val="18"/>
          <w:szCs w:val="18"/>
          <w:lang w:eastAsia="pt-BR"/>
        </w:rPr>
        <w:t> O Poder Executivo Municipal poderá regulamentar a presente Lei no que couber e de acordo com as diversas situações especiais, a exemplo de uso racional dos maquinários e equipamentos, fornecimento de britas e demais serviços públicos correlatos colocados à disposição do produtor rural."</w:t>
      </w:r>
    </w:p>
    <w:p w:rsidR="00E00E9C" w:rsidRPr="00E00E9C" w:rsidRDefault="00E00E9C" w:rsidP="00E00E9C">
      <w:pPr>
        <w:shd w:val="clear" w:color="auto" w:fill="EEEEEE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  <w:bookmarkStart w:id="1" w:name="a2"/>
      <w:bookmarkEnd w:id="1"/>
      <w:r w:rsidRPr="00E00E9C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Art. 2º</w:t>
      </w:r>
      <w:r w:rsidRPr="00E00E9C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A presente aplica-se aos pedidos novos, observado que aqueles protocolizados até a entrada em vigor da presente Lei serão regrados pelas normas da legislação anterior.</w:t>
      </w:r>
      <w:r w:rsidRPr="00E00E9C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r w:rsidRPr="00E00E9C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bookmarkStart w:id="2" w:name="a3"/>
      <w:bookmarkEnd w:id="2"/>
      <w:r w:rsidRPr="00E00E9C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Art. 3º</w:t>
      </w:r>
      <w:r w:rsidRPr="00E00E9C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Esta Lei entra em vigor na data da sua publicação.</w:t>
      </w:r>
    </w:p>
    <w:p w:rsidR="00E00E9C" w:rsidRPr="00E00E9C" w:rsidRDefault="00E00E9C" w:rsidP="00E00E9C">
      <w:pPr>
        <w:shd w:val="clear" w:color="auto" w:fill="EEEEEE"/>
        <w:spacing w:after="0" w:line="240" w:lineRule="auto"/>
        <w:jc w:val="right"/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</w:pPr>
      <w:r w:rsidRPr="00E00E9C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t>GABINETE DO PREFEITO MUNICIPAL DE SÃO VALENTIM DO SUL - RS, 12 DE FEVEREIRO DE 2021.</w:t>
      </w:r>
      <w:r w:rsidRPr="00E00E9C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</w:r>
      <w:r w:rsidRPr="00E00E9C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  <w:t>GERI ANGELO MACAGNAN</w:t>
      </w:r>
      <w:r w:rsidRPr="00E00E9C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  <w:t>Prefeito Municipal</w:t>
      </w:r>
    </w:p>
    <w:p w:rsidR="00E00E9C" w:rsidRPr="00E00E9C" w:rsidRDefault="00E00E9C" w:rsidP="00E00E9C">
      <w:pPr>
        <w:shd w:val="clear" w:color="auto" w:fill="EEEEEE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</w:p>
    <w:p w:rsidR="00E00E9C" w:rsidRPr="00E00E9C" w:rsidRDefault="00E00E9C" w:rsidP="00E00E9C">
      <w:pPr>
        <w:shd w:val="clear" w:color="auto" w:fill="EEEEEE"/>
        <w:spacing w:after="120" w:line="240" w:lineRule="auto"/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</w:pPr>
      <w:r w:rsidRPr="00E00E9C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t>REGISTRE-SE E PUBLIQUE-SE:</w:t>
      </w:r>
      <w:r w:rsidRPr="00E00E9C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</w:r>
      <w:r w:rsidRPr="00E00E9C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  <w:t>LUANA CAMILA KUNZ ARALDI</w:t>
      </w:r>
      <w:r w:rsidRPr="00E00E9C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  <w:t>Secretária Municipal de Administração</w:t>
      </w:r>
    </w:p>
    <w:p w:rsidR="004721BA" w:rsidRDefault="004721BA">
      <w:bookmarkStart w:id="3" w:name="_GoBack"/>
      <w:bookmarkEnd w:id="3"/>
    </w:p>
    <w:sectPr w:rsidR="004721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E9C"/>
    <w:rsid w:val="004721BA"/>
    <w:rsid w:val="00E0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B7E87-4221-46BB-8FD4-3DDC75A5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8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748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90446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99172">
              <w:marLeft w:val="570"/>
              <w:marRight w:val="750"/>
              <w:marTop w:val="3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35777">
              <w:marLeft w:val="450"/>
              <w:marRight w:val="45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5713">
              <w:marLeft w:val="450"/>
              <w:marRight w:val="4500"/>
              <w:marTop w:val="3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spro.com.br/visualizarDiploma.php?cdMunicipio=7942&amp;cdDiploma=20131598" TargetMode="External"/><Relationship Id="rId13" Type="http://schemas.openxmlformats.org/officeDocument/2006/relationships/hyperlink" Target="https://www.cespro.com.br/visualizarDiploma.php?cdMunicipio=7942&amp;cdDiploma=2013159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espro.com.br/visualizarDiploma.php?cdMunicipio=7942&amp;cdDiploma=20131598" TargetMode="External"/><Relationship Id="rId12" Type="http://schemas.openxmlformats.org/officeDocument/2006/relationships/hyperlink" Target="https://www.cespro.com.br/visualizarDiploma.php?cdMunicipio=7942&amp;cdDiploma=20131598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cespro.com.br/visualizarDiploma.php?cdMunicipio=7942&amp;cdDiploma=2013159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espro.com.br/visualizarDiploma.php?cdMunicipio=7942&amp;cdDiploma=20131598" TargetMode="External"/><Relationship Id="rId11" Type="http://schemas.openxmlformats.org/officeDocument/2006/relationships/hyperlink" Target="https://www.cespro.com.br/visualizarDiploma.php?cdMunicipio=7942&amp;cdDiploma=20131598" TargetMode="External"/><Relationship Id="rId5" Type="http://schemas.openxmlformats.org/officeDocument/2006/relationships/hyperlink" Target="https://www.cespro.com.br/visualizarDiploma.php?cdMunicipio=7942&amp;cdDiploma=20131598" TargetMode="External"/><Relationship Id="rId15" Type="http://schemas.openxmlformats.org/officeDocument/2006/relationships/hyperlink" Target="https://www.cespro.com.br/visualizarDiploma.php?cdMunicipio=7942&amp;cdDiploma=20131598" TargetMode="External"/><Relationship Id="rId10" Type="http://schemas.openxmlformats.org/officeDocument/2006/relationships/hyperlink" Target="https://www.cespro.com.br/visualizarDiploma.php?cdMunicipio=7942&amp;cdDiploma=20131598" TargetMode="External"/><Relationship Id="rId4" Type="http://schemas.openxmlformats.org/officeDocument/2006/relationships/hyperlink" Target="https://www.cespro.com.br/visualizarDiploma.php?cdMunicipio=7942&amp;cdDiploma=20131598" TargetMode="External"/><Relationship Id="rId9" Type="http://schemas.openxmlformats.org/officeDocument/2006/relationships/hyperlink" Target="https://www.cespro.com.br/visualizarDiploma.php?cdMunicipio=7942&amp;cdDiploma=20131598" TargetMode="External"/><Relationship Id="rId14" Type="http://schemas.openxmlformats.org/officeDocument/2006/relationships/hyperlink" Target="https://www.cespro.com.br/visualizarDiploma.php?cdMunicipio=7942&amp;cdDiploma=20131598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995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Vereadores</dc:creator>
  <cp:keywords/>
  <dc:description/>
  <cp:lastModifiedBy>Camara Vereadores</cp:lastModifiedBy>
  <cp:revision>1</cp:revision>
  <dcterms:created xsi:type="dcterms:W3CDTF">2021-10-05T11:22:00Z</dcterms:created>
  <dcterms:modified xsi:type="dcterms:W3CDTF">2021-10-05T11:22:00Z</dcterms:modified>
</cp:coreProperties>
</file>